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Default="002F6C42" w:rsidP="00B54087">
      <w:pPr>
        <w:spacing w:line="480" w:lineRule="auto"/>
        <w:jc w:val="center"/>
      </w:pPr>
    </w:p>
    <w:p w:rsidR="007E1226" w:rsidRDefault="007E1226" w:rsidP="00B54087">
      <w:pPr>
        <w:spacing w:line="480" w:lineRule="auto"/>
        <w:jc w:val="center"/>
      </w:pPr>
    </w:p>
    <w:p w:rsidR="007E1226" w:rsidRDefault="007E1226" w:rsidP="00B54087">
      <w:pPr>
        <w:spacing w:line="480" w:lineRule="auto"/>
        <w:jc w:val="center"/>
      </w:pPr>
    </w:p>
    <w:p w:rsidR="007E1226" w:rsidRDefault="007E1226" w:rsidP="00B54087">
      <w:pPr>
        <w:spacing w:line="480" w:lineRule="auto"/>
        <w:jc w:val="center"/>
      </w:pPr>
    </w:p>
    <w:p w:rsidR="007E1226" w:rsidRDefault="00B54087" w:rsidP="00B54087">
      <w:pPr>
        <w:spacing w:line="480" w:lineRule="auto"/>
        <w:jc w:val="center"/>
      </w:pPr>
      <w:r w:rsidRPr="0048153A">
        <w:rPr>
          <w:b/>
        </w:rPr>
        <w:t xml:space="preserve">Interview with a Billing Coordinator </w:t>
      </w:r>
    </w:p>
    <w:p w:rsidR="007E1226" w:rsidRDefault="007E1226" w:rsidP="00B54087">
      <w:pPr>
        <w:spacing w:line="480" w:lineRule="auto"/>
        <w:jc w:val="center"/>
      </w:pPr>
      <w:r>
        <w:t>Name</w:t>
      </w:r>
    </w:p>
    <w:p w:rsidR="007E1226" w:rsidRDefault="007E1226" w:rsidP="00B54087">
      <w:pPr>
        <w:spacing w:line="480" w:lineRule="auto"/>
        <w:jc w:val="center"/>
      </w:pPr>
      <w:r>
        <w:t>Institution</w:t>
      </w:r>
      <w:r w:rsidR="0048153A">
        <w:t xml:space="preserve"> of Affiliation</w:t>
      </w:r>
    </w:p>
    <w:p w:rsidR="0048153A" w:rsidRDefault="0048153A" w:rsidP="00B54087">
      <w:pPr>
        <w:spacing w:line="480" w:lineRule="auto"/>
        <w:jc w:val="center"/>
      </w:pPr>
      <w:r>
        <w:t>Course Code</w:t>
      </w:r>
    </w:p>
    <w:p w:rsidR="0048153A" w:rsidRDefault="0048153A" w:rsidP="00B54087">
      <w:pPr>
        <w:spacing w:line="480" w:lineRule="auto"/>
        <w:jc w:val="center"/>
      </w:pPr>
      <w:r>
        <w:t>Date</w:t>
      </w:r>
    </w:p>
    <w:p w:rsidR="007E1226" w:rsidRDefault="007E1226" w:rsidP="00B54087">
      <w:pPr>
        <w:spacing w:line="480" w:lineRule="auto"/>
        <w:jc w:val="center"/>
      </w:pPr>
    </w:p>
    <w:p w:rsidR="007E1226" w:rsidRDefault="007E1226" w:rsidP="00B54087">
      <w:pPr>
        <w:spacing w:line="480" w:lineRule="auto"/>
      </w:pPr>
      <w:r>
        <w:br w:type="page"/>
      </w:r>
    </w:p>
    <w:p w:rsidR="0048153A" w:rsidRDefault="0048153A" w:rsidP="0048153A">
      <w:pPr>
        <w:spacing w:line="480" w:lineRule="auto"/>
        <w:jc w:val="center"/>
      </w:pPr>
      <w:r w:rsidRPr="0048153A">
        <w:rPr>
          <w:b/>
        </w:rPr>
        <w:lastRenderedPageBreak/>
        <w:t xml:space="preserve">Interview with a Billing Coordinator </w:t>
      </w:r>
    </w:p>
    <w:p w:rsidR="00951550" w:rsidRDefault="009B3C8D" w:rsidP="0048153A">
      <w:pPr>
        <w:pStyle w:val="NormalWeb"/>
        <w:spacing w:before="0" w:beforeAutospacing="0" w:after="160" w:afterAutospacing="0" w:line="480" w:lineRule="auto"/>
        <w:ind w:firstLine="720"/>
      </w:pPr>
      <w:r>
        <w:t xml:space="preserve">The medical billing process can be </w:t>
      </w:r>
      <w:r w:rsidR="00943D14">
        <w:t xml:space="preserve">hectic and may appear even more complex just like coding. However, the process </w:t>
      </w:r>
      <w:r w:rsidR="0048153A">
        <w:t>has</w:t>
      </w:r>
      <w:r w:rsidR="00943D14">
        <w:t xml:space="preserve"> just eight simple steps. The steps are; registering the patient, confirming financial liability, patient check-in</w:t>
      </w:r>
      <w:r w:rsidR="00EA55BA">
        <w:t>,</w:t>
      </w:r>
      <w:r w:rsidR="00943D14">
        <w:t xml:space="preserve"> and check-out, preparing claims or checking compliance, transmitting claims, monitoring adjudication, generating patient statements, and following on patient payments and handling collections</w:t>
      </w:r>
      <w:r w:rsidR="00DA5AEE">
        <w:t xml:space="preserve"> (</w:t>
      </w:r>
      <w:r w:rsidR="00DA5AEE" w:rsidRPr="00DA5AEE">
        <w:t>Kliethermes,</w:t>
      </w:r>
      <w:r w:rsidR="00DA5AEE">
        <w:t xml:space="preserve"> 2017)</w:t>
      </w:r>
      <w:r w:rsidR="00943D14">
        <w:t xml:space="preserve">. </w:t>
      </w:r>
      <w:r w:rsidR="006C3B87">
        <w:t xml:space="preserve">I </w:t>
      </w:r>
      <w:r w:rsidR="00EA55BA">
        <w:t>interviewed</w:t>
      </w:r>
      <w:r w:rsidR="006C3B87">
        <w:t xml:space="preserve"> Mr. William Smith </w:t>
      </w:r>
      <w:r w:rsidR="00A773F4">
        <w:t>who is the medical biller for Sunshine Healthcare. Mr. Smith is responsible for organizing patient medical costs and sending invoices to collect payment from patients and insurers. Our interview revolved around the differences in cash payment, third</w:t>
      </w:r>
      <w:r w:rsidR="00EA55BA">
        <w:t>-</w:t>
      </w:r>
      <w:r w:rsidR="00A773F4">
        <w:t>party payers</w:t>
      </w:r>
      <w:r w:rsidR="00EA55BA">
        <w:t>,</w:t>
      </w:r>
      <w:r w:rsidR="00A773F4">
        <w:t xml:space="preserve"> and Medicare &amp; Medicaid. He also highlighted the difference in </w:t>
      </w:r>
      <w:r w:rsidR="00EA55BA">
        <w:t xml:space="preserve">the </w:t>
      </w:r>
      <w:r w:rsidR="00A773F4">
        <w:t xml:space="preserve">pricing process between different industries and the impact of government insurers and payers on actual reimbursement. </w:t>
      </w:r>
    </w:p>
    <w:p w:rsidR="00A773F4" w:rsidRDefault="00A773F4" w:rsidP="00B54087">
      <w:pPr>
        <w:pStyle w:val="NormalWeb"/>
        <w:spacing w:before="0" w:beforeAutospacing="0" w:after="160" w:afterAutospacing="0" w:line="480" w:lineRule="auto"/>
      </w:pPr>
      <w:r>
        <w:tab/>
      </w:r>
      <w:r w:rsidR="00B231E4">
        <w:t xml:space="preserve">Mr. Smith started by commenting that the billing process is at the center of healthcare providers and institutions noting that it must be done with mastery. The process is very key that there are firms that solely conduct </w:t>
      </w:r>
      <w:r w:rsidR="0048153A">
        <w:t>these duties</w:t>
      </w:r>
      <w:r w:rsidR="00B231E4">
        <w:t xml:space="preserve"> for healthcare providers and institutions. Cash flow </w:t>
      </w:r>
      <w:r w:rsidR="00EA55BA">
        <w:t>is</w:t>
      </w:r>
      <w:r w:rsidR="00B231E4">
        <w:t xml:space="preserve"> the blood of any organization </w:t>
      </w:r>
      <w:r w:rsidR="00EA55BA">
        <w:t xml:space="preserve">that </w:t>
      </w:r>
      <w:r w:rsidR="00B231E4">
        <w:t>must be prioritized to ensure that all operations run smoothly as they are cash</w:t>
      </w:r>
      <w:r w:rsidR="00EA55BA">
        <w:t>-</w:t>
      </w:r>
      <w:r w:rsidR="00B231E4">
        <w:t xml:space="preserve">dependent. To reduce cases where reimbursement is not forthcoming, Mr. Smith advised that it is necessary as a matter of protocol to verify financial liability before attending to any patient. </w:t>
      </w:r>
    </w:p>
    <w:p w:rsidR="00B231E4" w:rsidRDefault="00B231E4" w:rsidP="00B54087">
      <w:pPr>
        <w:pStyle w:val="NormalWeb"/>
        <w:spacing w:before="0" w:beforeAutospacing="0" w:after="160" w:afterAutospacing="0" w:line="480" w:lineRule="auto"/>
        <w:ind w:firstLine="720"/>
      </w:pPr>
      <w:r>
        <w:t xml:space="preserve">On the differences between </w:t>
      </w:r>
      <w:r w:rsidR="0009384D">
        <w:t xml:space="preserve">paying with cash, third-party insurance, or Medicare and Medicaid. Mr. Smith responds by stating that these options are available to the patients. He observes that cash payment or self-pay is good for the health providers given there is no waiting period and hectic process of reimbursement. However, this option is taken by </w:t>
      </w:r>
      <w:r w:rsidR="00EA55BA">
        <w:t xml:space="preserve">a </w:t>
      </w:r>
      <w:r w:rsidR="0009384D">
        <w:t xml:space="preserve">few, mostly those who lack insurance cover but are not eligible for Medicaid, and those who are insensitive of </w:t>
      </w:r>
      <w:r w:rsidR="0009384D">
        <w:lastRenderedPageBreak/>
        <w:t xml:space="preserve">costs. He observed that some people who have high deductibles find it better to self-pay than </w:t>
      </w:r>
      <w:r w:rsidR="00EA55BA">
        <w:t>to have</w:t>
      </w:r>
      <w:r w:rsidR="0009384D">
        <w:t xml:space="preserve"> their medical bill</w:t>
      </w:r>
      <w:r w:rsidR="00EA55BA">
        <w:t>s</w:t>
      </w:r>
      <w:r w:rsidR="0009384D">
        <w:t xml:space="preserve"> sent to their insurance. For the third</w:t>
      </w:r>
      <w:r w:rsidR="00EA55BA">
        <w:t>-</w:t>
      </w:r>
      <w:r w:rsidR="0009384D">
        <w:t>party providers, one need</w:t>
      </w:r>
      <w:r w:rsidR="00EA55BA">
        <w:t>s</w:t>
      </w:r>
      <w:r w:rsidR="0009384D">
        <w:t xml:space="preserve"> to follow the required methods to send their bills. Some insurance providers have very precise requirements and medical billers must be savvy on those requirements. Medicare and Medicaid have </w:t>
      </w:r>
      <w:r w:rsidR="00EA55BA">
        <w:t xml:space="preserve">a </w:t>
      </w:r>
      <w:r w:rsidR="0009384D">
        <w:t>multilayered process as they are regulated by the government and have to be double</w:t>
      </w:r>
      <w:r w:rsidR="00EA55BA">
        <w:t>-</w:t>
      </w:r>
      <w:r w:rsidR="0009384D">
        <w:t xml:space="preserve">checked before payments are reimbursed. </w:t>
      </w:r>
    </w:p>
    <w:p w:rsidR="005E7723" w:rsidRDefault="005E7723" w:rsidP="00B54087">
      <w:pPr>
        <w:pStyle w:val="NormalWeb"/>
        <w:spacing w:before="0" w:beforeAutospacing="0" w:after="160" w:afterAutospacing="0" w:line="480" w:lineRule="auto"/>
        <w:ind w:firstLine="720"/>
      </w:pPr>
      <w:r>
        <w:t>On the differences in charging and pricing methods, Mr. Smith states “Every healthcare provider have their unique contributors to costs.” He observes that contributors to healthcare costs stretch beyond the simple costs of materials used and the physician</w:t>
      </w:r>
      <w:r w:rsidR="00EA55BA">
        <w:t>'</w:t>
      </w:r>
      <w:r>
        <w:t>s pay. There are differences in the overhead costs, the technology applied, and specialization of the personnel involved</w:t>
      </w:r>
      <w:r w:rsidR="00DA5AEE">
        <w:t xml:space="preserve"> (</w:t>
      </w:r>
      <w:r w:rsidR="00B54087">
        <w:t>Robinson, Brown &amp; Whaley, 2017</w:t>
      </w:r>
      <w:r w:rsidR="00DA5AEE">
        <w:t>)</w:t>
      </w:r>
      <w:r>
        <w:t xml:space="preserve">. Healthcare pricing is so complex that it is difficult to apportion </w:t>
      </w:r>
      <w:r w:rsidR="00884077">
        <w:t xml:space="preserve">costs to arrive at the exact cost of each component of cost. There have been complaints that this is a major contributor to the rising healthcare costs in the United States. The pricing is also dependent on the dominance of insurers, if a certain insurer is dominant in a certain area, it can dictate costs. Usually, insurers who have many subscribers </w:t>
      </w:r>
      <w:r w:rsidR="00EA55BA">
        <w:t>can</w:t>
      </w:r>
      <w:r w:rsidR="00884077">
        <w:t xml:space="preserve"> negotiate and pay less. </w:t>
      </w:r>
    </w:p>
    <w:p w:rsidR="00884077" w:rsidRDefault="00884077" w:rsidP="00B54087">
      <w:pPr>
        <w:pStyle w:val="NormalWeb"/>
        <w:spacing w:before="0" w:beforeAutospacing="0" w:after="160" w:afterAutospacing="0" w:line="480" w:lineRule="auto"/>
        <w:ind w:firstLine="720"/>
      </w:pPr>
      <w:r>
        <w:t>Actual reimbursement differs between government and private payers. Mr. Smith states that government ha</w:t>
      </w:r>
      <w:r w:rsidR="00EA55BA">
        <w:t>s</w:t>
      </w:r>
      <w:r>
        <w:t xml:space="preserve"> </w:t>
      </w:r>
      <w:r w:rsidR="00EA55BA">
        <w:t xml:space="preserve">a </w:t>
      </w:r>
      <w:r>
        <w:t>strict process that must be followed before making any reimbursement. Normally, before a government can pay for services,</w:t>
      </w:r>
      <w:r w:rsidR="00DA5AEE">
        <w:t xml:space="preserve"> all other payers must have pai</w:t>
      </w:r>
      <w:r>
        <w:t>d the bill with the government paying the balance for the case of those who have multiple insurers</w:t>
      </w:r>
      <w:r w:rsidR="00B54087">
        <w:t xml:space="preserve"> (</w:t>
      </w:r>
      <w:r w:rsidR="00B54087" w:rsidRPr="00DA5AEE">
        <w:t>Cleverley</w:t>
      </w:r>
      <w:r w:rsidR="00B54087">
        <w:t xml:space="preserve"> et al, 2011)</w:t>
      </w:r>
      <w:r>
        <w:t xml:space="preserve">. </w:t>
      </w:r>
      <w:r w:rsidR="00DA5AEE">
        <w:t xml:space="preserve">However, the government bills are paid although providers have little say on how much they get paid, </w:t>
      </w:r>
      <w:r w:rsidR="00EA55BA">
        <w:t>which</w:t>
      </w:r>
      <w:r w:rsidR="00DA5AEE">
        <w:t xml:space="preserve"> is determined by government agencies. Private payers are quick to make reimbursements and they don’t have multilayered processes like government. It is also </w:t>
      </w:r>
      <w:r w:rsidR="00DA5AEE">
        <w:lastRenderedPageBreak/>
        <w:t xml:space="preserve">easier to negotiate payments with private payers. However, Mr. Smith places preference </w:t>
      </w:r>
      <w:bookmarkStart w:id="0" w:name="_GoBack"/>
      <w:bookmarkEnd w:id="0"/>
      <w:r w:rsidR="00EA55BA">
        <w:t>on</w:t>
      </w:r>
      <w:r w:rsidR="00DA5AEE">
        <w:t xml:space="preserve"> government since t is reliable and ensures regular flow of cash which is beneficial to providers.  </w:t>
      </w:r>
    </w:p>
    <w:p w:rsidR="00A773F4" w:rsidRDefault="00A773F4" w:rsidP="00B54087">
      <w:pPr>
        <w:pStyle w:val="NormalWeb"/>
        <w:spacing w:before="0" w:beforeAutospacing="0" w:after="160" w:afterAutospacing="0" w:line="480" w:lineRule="auto"/>
      </w:pPr>
      <w:r>
        <w:tab/>
      </w:r>
    </w:p>
    <w:p w:rsidR="00951550" w:rsidRDefault="00951550" w:rsidP="00B54087">
      <w:pPr>
        <w:spacing w:line="480" w:lineRule="auto"/>
      </w:pPr>
      <w:r>
        <w:br w:type="page"/>
      </w:r>
    </w:p>
    <w:p w:rsidR="000E3E58" w:rsidRDefault="008A209C" w:rsidP="0048153A">
      <w:pPr>
        <w:spacing w:line="480" w:lineRule="auto"/>
        <w:jc w:val="center"/>
      </w:pPr>
      <w:r>
        <w:lastRenderedPageBreak/>
        <w:t>References</w:t>
      </w:r>
    </w:p>
    <w:p w:rsidR="00DA5AEE" w:rsidRPr="00DA5AEE" w:rsidRDefault="00DA5AEE" w:rsidP="00B54087">
      <w:pPr>
        <w:spacing w:after="0" w:line="480" w:lineRule="auto"/>
        <w:ind w:left="1440" w:hanging="1440"/>
        <w:rPr>
          <w:rFonts w:eastAsia="Times New Roman" w:cs="Times New Roman"/>
          <w:szCs w:val="24"/>
        </w:rPr>
      </w:pPr>
      <w:r w:rsidRPr="00DA5AEE">
        <w:rPr>
          <w:rFonts w:eastAsia="Times New Roman" w:cs="Times New Roman"/>
          <w:szCs w:val="24"/>
        </w:rPr>
        <w:t xml:space="preserve">Cleverley, W. O., Song, P. H., &amp; Cleverley, J. O. (2011). Billing and Coding in Health Services. </w:t>
      </w:r>
    </w:p>
    <w:p w:rsidR="00DA5AEE" w:rsidRPr="00DA5AEE" w:rsidRDefault="00DA5AEE" w:rsidP="00B54087">
      <w:pPr>
        <w:spacing w:after="0" w:line="480" w:lineRule="auto"/>
        <w:ind w:left="1440" w:hanging="1440"/>
        <w:rPr>
          <w:rFonts w:eastAsia="Times New Roman" w:cs="Times New Roman"/>
          <w:szCs w:val="24"/>
        </w:rPr>
      </w:pPr>
      <w:r w:rsidRPr="00DA5AEE">
        <w:rPr>
          <w:rFonts w:eastAsia="Times New Roman" w:cs="Times New Roman"/>
          <w:szCs w:val="24"/>
        </w:rPr>
        <w:t xml:space="preserve">In Grand Canyon University (Ed.), Essentials of health care finance (7th ed.). Sudbury, </w:t>
      </w:r>
    </w:p>
    <w:p w:rsidR="00DA5AEE" w:rsidRPr="00DA5AEE" w:rsidRDefault="00DA5AEE" w:rsidP="00B54087">
      <w:pPr>
        <w:spacing w:after="0" w:line="480" w:lineRule="auto"/>
        <w:ind w:left="1440" w:hanging="1440"/>
        <w:rPr>
          <w:rFonts w:eastAsia="Times New Roman" w:cs="Times New Roman"/>
          <w:szCs w:val="24"/>
        </w:rPr>
      </w:pPr>
      <w:r w:rsidRPr="00DA5AEE">
        <w:rPr>
          <w:rFonts w:eastAsia="Times New Roman" w:cs="Times New Roman"/>
          <w:szCs w:val="24"/>
        </w:rPr>
        <w:t>MA: Jones &amp; Bartlett. Retrieved from https://viewer.gcu.edu/BDGBHD</w:t>
      </w:r>
    </w:p>
    <w:p w:rsidR="00DA5AEE" w:rsidRPr="00DA5AEE" w:rsidRDefault="00DA5AEE" w:rsidP="00B54087">
      <w:pPr>
        <w:spacing w:after="0" w:line="480" w:lineRule="auto"/>
        <w:ind w:left="720" w:hanging="720"/>
        <w:rPr>
          <w:rFonts w:eastAsia="Times New Roman" w:cs="Times New Roman"/>
          <w:szCs w:val="24"/>
        </w:rPr>
      </w:pPr>
      <w:r w:rsidRPr="00DA5AEE">
        <w:rPr>
          <w:rFonts w:eastAsia="Times New Roman" w:cs="Times New Roman"/>
          <w:szCs w:val="24"/>
        </w:rPr>
        <w:t xml:space="preserve">Kliethermes, M. A. (2017). Understanding health care billing basics. </w:t>
      </w:r>
      <w:r w:rsidRPr="00DA5AEE">
        <w:rPr>
          <w:rFonts w:eastAsia="Times New Roman" w:cs="Times New Roman"/>
          <w:i/>
          <w:iCs/>
          <w:szCs w:val="24"/>
        </w:rPr>
        <w:t>Pharmacy Today</w:t>
      </w:r>
      <w:r w:rsidRPr="00DA5AEE">
        <w:rPr>
          <w:rFonts w:eastAsia="Times New Roman" w:cs="Times New Roman"/>
          <w:szCs w:val="24"/>
        </w:rPr>
        <w:t xml:space="preserve">, </w:t>
      </w:r>
      <w:r w:rsidRPr="00DA5AEE">
        <w:rPr>
          <w:rFonts w:eastAsia="Times New Roman" w:cs="Times New Roman"/>
          <w:i/>
          <w:iCs/>
          <w:szCs w:val="24"/>
        </w:rPr>
        <w:t>23</w:t>
      </w:r>
      <w:r w:rsidRPr="00DA5AEE">
        <w:rPr>
          <w:rFonts w:eastAsia="Times New Roman" w:cs="Times New Roman"/>
          <w:szCs w:val="24"/>
        </w:rPr>
        <w:t>(7), 57-68.</w:t>
      </w:r>
    </w:p>
    <w:p w:rsidR="00B54087" w:rsidRPr="00B54087" w:rsidRDefault="00B54087" w:rsidP="00B54087">
      <w:pPr>
        <w:spacing w:after="0" w:line="480" w:lineRule="auto"/>
        <w:ind w:left="720" w:hanging="720"/>
        <w:rPr>
          <w:rFonts w:eastAsia="Times New Roman" w:cs="Times New Roman"/>
          <w:szCs w:val="24"/>
        </w:rPr>
      </w:pPr>
      <w:r w:rsidRPr="00B54087">
        <w:rPr>
          <w:rFonts w:eastAsia="Times New Roman" w:cs="Times New Roman"/>
          <w:szCs w:val="24"/>
        </w:rPr>
        <w:t xml:space="preserve">Robinson, J. C., Brown, T. T., &amp; Whaley, C. (2017). Reference pricing changes the ‘choice architecture’ of health care for consumers. </w:t>
      </w:r>
      <w:r w:rsidRPr="00B54087">
        <w:rPr>
          <w:rFonts w:eastAsia="Times New Roman" w:cs="Times New Roman"/>
          <w:i/>
          <w:iCs/>
          <w:szCs w:val="24"/>
        </w:rPr>
        <w:t>Health Affairs</w:t>
      </w:r>
      <w:r w:rsidRPr="00B54087">
        <w:rPr>
          <w:rFonts w:eastAsia="Times New Roman" w:cs="Times New Roman"/>
          <w:szCs w:val="24"/>
        </w:rPr>
        <w:t xml:space="preserve">, </w:t>
      </w:r>
      <w:r w:rsidRPr="00B54087">
        <w:rPr>
          <w:rFonts w:eastAsia="Times New Roman" w:cs="Times New Roman"/>
          <w:i/>
          <w:iCs/>
          <w:szCs w:val="24"/>
        </w:rPr>
        <w:t>36</w:t>
      </w:r>
      <w:r w:rsidRPr="00B54087">
        <w:rPr>
          <w:rFonts w:eastAsia="Times New Roman" w:cs="Times New Roman"/>
          <w:szCs w:val="24"/>
        </w:rPr>
        <w:t>(3), 524-530.</w:t>
      </w:r>
    </w:p>
    <w:p w:rsidR="00DA5AEE" w:rsidRDefault="00DA5AEE" w:rsidP="00B54087">
      <w:pPr>
        <w:spacing w:line="480" w:lineRule="auto"/>
      </w:pPr>
    </w:p>
    <w:sectPr w:rsidR="00DA5AEE" w:rsidSect="00B54087">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5811" w:rsidRDefault="00E15811" w:rsidP="00B54087">
      <w:pPr>
        <w:spacing w:after="0" w:line="240" w:lineRule="auto"/>
      </w:pPr>
      <w:r>
        <w:separator/>
      </w:r>
    </w:p>
  </w:endnote>
  <w:endnote w:type="continuationSeparator" w:id="0">
    <w:p w:rsidR="00E15811" w:rsidRDefault="00E15811" w:rsidP="00B5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5811" w:rsidRDefault="00E15811" w:rsidP="00B54087">
      <w:pPr>
        <w:spacing w:after="0" w:line="240" w:lineRule="auto"/>
      </w:pPr>
      <w:r>
        <w:separator/>
      </w:r>
    </w:p>
  </w:footnote>
  <w:footnote w:type="continuationSeparator" w:id="0">
    <w:p w:rsidR="00E15811" w:rsidRDefault="00E15811" w:rsidP="00B54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6201650"/>
      <w:docPartObj>
        <w:docPartGallery w:val="Page Numbers (Top of Page)"/>
        <w:docPartUnique/>
      </w:docPartObj>
    </w:sdtPr>
    <w:sdtEndPr>
      <w:rPr>
        <w:noProof/>
      </w:rPr>
    </w:sdtEndPr>
    <w:sdtContent>
      <w:p w:rsidR="00B54087" w:rsidRDefault="00B54087">
        <w:pPr>
          <w:pStyle w:val="Header"/>
          <w:jc w:val="right"/>
        </w:pPr>
        <w:r>
          <w:fldChar w:fldCharType="begin"/>
        </w:r>
        <w:r>
          <w:instrText xml:space="preserve"> PAGE   \* MERGEFORMAT </w:instrText>
        </w:r>
        <w:r>
          <w:fldChar w:fldCharType="separate"/>
        </w:r>
        <w:r w:rsidR="00024C72">
          <w:rPr>
            <w:noProof/>
          </w:rPr>
          <w:t>3</w:t>
        </w:r>
        <w:r>
          <w:rPr>
            <w:noProof/>
          </w:rPr>
          <w:fldChar w:fldCharType="end"/>
        </w:r>
      </w:p>
    </w:sdtContent>
  </w:sdt>
  <w:p w:rsidR="00B54087" w:rsidRDefault="00B54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xNDYzNTI3NbIwtjBU0lEKTi0uzszPAykwrAUAcijEfCwAAAA="/>
  </w:docVars>
  <w:rsids>
    <w:rsidRoot w:val="007E1226"/>
    <w:rsid w:val="00024C72"/>
    <w:rsid w:val="0009384D"/>
    <w:rsid w:val="000A5D96"/>
    <w:rsid w:val="000E3E58"/>
    <w:rsid w:val="002F6C42"/>
    <w:rsid w:val="00371187"/>
    <w:rsid w:val="0048153A"/>
    <w:rsid w:val="00531E09"/>
    <w:rsid w:val="005E7723"/>
    <w:rsid w:val="006C3B87"/>
    <w:rsid w:val="007E1226"/>
    <w:rsid w:val="00836E35"/>
    <w:rsid w:val="00884077"/>
    <w:rsid w:val="008A209C"/>
    <w:rsid w:val="008E3D24"/>
    <w:rsid w:val="00943D14"/>
    <w:rsid w:val="00951550"/>
    <w:rsid w:val="009B3C8D"/>
    <w:rsid w:val="009D6189"/>
    <w:rsid w:val="00A02D14"/>
    <w:rsid w:val="00A773F4"/>
    <w:rsid w:val="00B231E4"/>
    <w:rsid w:val="00B4131B"/>
    <w:rsid w:val="00B54087"/>
    <w:rsid w:val="00DA5AEE"/>
    <w:rsid w:val="00E15811"/>
    <w:rsid w:val="00EA5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4DE2D"/>
  <w15:chartTrackingRefBased/>
  <w15:docId w15:val="{3A1A7356-D864-4594-8C4B-0C938CC67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E58"/>
    <w:rPr>
      <w:color w:val="0563C1" w:themeColor="hyperlink"/>
      <w:u w:val="single"/>
    </w:rPr>
  </w:style>
  <w:style w:type="paragraph" w:styleId="NormalWeb">
    <w:name w:val="Normal (Web)"/>
    <w:basedOn w:val="Normal"/>
    <w:uiPriority w:val="99"/>
    <w:unhideWhenUsed/>
    <w:rsid w:val="00951550"/>
    <w:pPr>
      <w:spacing w:before="100" w:beforeAutospacing="1" w:after="100" w:afterAutospacing="1" w:line="240" w:lineRule="auto"/>
    </w:pPr>
    <w:rPr>
      <w:rFonts w:eastAsia="Times New Roman" w:cs="Times New Roman"/>
      <w:szCs w:val="24"/>
    </w:rPr>
  </w:style>
  <w:style w:type="character" w:customStyle="1" w:styleId="fc2">
    <w:name w:val="fc2"/>
    <w:basedOn w:val="DefaultParagraphFont"/>
    <w:rsid w:val="00DA5AEE"/>
  </w:style>
  <w:style w:type="paragraph" w:styleId="Header">
    <w:name w:val="header"/>
    <w:basedOn w:val="Normal"/>
    <w:link w:val="HeaderChar"/>
    <w:uiPriority w:val="99"/>
    <w:unhideWhenUsed/>
    <w:rsid w:val="00B54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087"/>
  </w:style>
  <w:style w:type="paragraph" w:styleId="Footer">
    <w:name w:val="footer"/>
    <w:basedOn w:val="Normal"/>
    <w:link w:val="FooterChar"/>
    <w:uiPriority w:val="99"/>
    <w:unhideWhenUsed/>
    <w:rsid w:val="00B54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862494">
      <w:bodyDiv w:val="1"/>
      <w:marLeft w:val="0"/>
      <w:marRight w:val="0"/>
      <w:marTop w:val="0"/>
      <w:marBottom w:val="0"/>
      <w:divBdr>
        <w:top w:val="none" w:sz="0" w:space="0" w:color="auto"/>
        <w:left w:val="none" w:sz="0" w:space="0" w:color="auto"/>
        <w:bottom w:val="none" w:sz="0" w:space="0" w:color="auto"/>
        <w:right w:val="none" w:sz="0" w:space="0" w:color="auto"/>
      </w:divBdr>
      <w:divsChild>
        <w:div w:id="1801410940">
          <w:marLeft w:val="0"/>
          <w:marRight w:val="0"/>
          <w:marTop w:val="0"/>
          <w:marBottom w:val="0"/>
          <w:divBdr>
            <w:top w:val="none" w:sz="0" w:space="0" w:color="auto"/>
            <w:left w:val="none" w:sz="0" w:space="0" w:color="auto"/>
            <w:bottom w:val="none" w:sz="0" w:space="0" w:color="auto"/>
            <w:right w:val="none" w:sz="0" w:space="0" w:color="auto"/>
          </w:divBdr>
        </w:div>
        <w:div w:id="68114571">
          <w:marLeft w:val="0"/>
          <w:marRight w:val="0"/>
          <w:marTop w:val="0"/>
          <w:marBottom w:val="0"/>
          <w:divBdr>
            <w:top w:val="none" w:sz="0" w:space="0" w:color="auto"/>
            <w:left w:val="none" w:sz="0" w:space="0" w:color="auto"/>
            <w:bottom w:val="none" w:sz="0" w:space="0" w:color="auto"/>
            <w:right w:val="none" w:sz="0" w:space="0" w:color="auto"/>
          </w:divBdr>
        </w:div>
        <w:div w:id="1592859554">
          <w:marLeft w:val="0"/>
          <w:marRight w:val="0"/>
          <w:marTop w:val="0"/>
          <w:marBottom w:val="0"/>
          <w:divBdr>
            <w:top w:val="none" w:sz="0" w:space="0" w:color="auto"/>
            <w:left w:val="none" w:sz="0" w:space="0" w:color="auto"/>
            <w:bottom w:val="none" w:sz="0" w:space="0" w:color="auto"/>
            <w:right w:val="none" w:sz="0" w:space="0" w:color="auto"/>
          </w:divBdr>
        </w:div>
      </w:divsChild>
    </w:div>
    <w:div w:id="631057083">
      <w:bodyDiv w:val="1"/>
      <w:marLeft w:val="0"/>
      <w:marRight w:val="0"/>
      <w:marTop w:val="0"/>
      <w:marBottom w:val="0"/>
      <w:divBdr>
        <w:top w:val="none" w:sz="0" w:space="0" w:color="auto"/>
        <w:left w:val="none" w:sz="0" w:space="0" w:color="auto"/>
        <w:bottom w:val="none" w:sz="0" w:space="0" w:color="auto"/>
        <w:right w:val="none" w:sz="0" w:space="0" w:color="auto"/>
      </w:divBdr>
    </w:div>
    <w:div w:id="941303941">
      <w:bodyDiv w:val="1"/>
      <w:marLeft w:val="0"/>
      <w:marRight w:val="0"/>
      <w:marTop w:val="0"/>
      <w:marBottom w:val="0"/>
      <w:divBdr>
        <w:top w:val="none" w:sz="0" w:space="0" w:color="auto"/>
        <w:left w:val="none" w:sz="0" w:space="0" w:color="auto"/>
        <w:bottom w:val="none" w:sz="0" w:space="0" w:color="auto"/>
        <w:right w:val="none" w:sz="0" w:space="0" w:color="auto"/>
      </w:divBdr>
    </w:div>
    <w:div w:id="1006665334">
      <w:bodyDiv w:val="1"/>
      <w:marLeft w:val="0"/>
      <w:marRight w:val="0"/>
      <w:marTop w:val="0"/>
      <w:marBottom w:val="0"/>
      <w:divBdr>
        <w:top w:val="none" w:sz="0" w:space="0" w:color="auto"/>
        <w:left w:val="none" w:sz="0" w:space="0" w:color="auto"/>
        <w:bottom w:val="none" w:sz="0" w:space="0" w:color="auto"/>
        <w:right w:val="none" w:sz="0" w:space="0" w:color="auto"/>
      </w:divBdr>
      <w:divsChild>
        <w:div w:id="1454982157">
          <w:marLeft w:val="0"/>
          <w:marRight w:val="0"/>
          <w:marTop w:val="0"/>
          <w:marBottom w:val="0"/>
          <w:divBdr>
            <w:top w:val="none" w:sz="0" w:space="0" w:color="auto"/>
            <w:left w:val="none" w:sz="0" w:space="0" w:color="auto"/>
            <w:bottom w:val="none" w:sz="0" w:space="0" w:color="auto"/>
            <w:right w:val="none" w:sz="0" w:space="0" w:color="auto"/>
          </w:divBdr>
        </w:div>
      </w:divsChild>
    </w:div>
    <w:div w:id="1092705396">
      <w:bodyDiv w:val="1"/>
      <w:marLeft w:val="0"/>
      <w:marRight w:val="0"/>
      <w:marTop w:val="0"/>
      <w:marBottom w:val="0"/>
      <w:divBdr>
        <w:top w:val="none" w:sz="0" w:space="0" w:color="auto"/>
        <w:left w:val="none" w:sz="0" w:space="0" w:color="auto"/>
        <w:bottom w:val="none" w:sz="0" w:space="0" w:color="auto"/>
        <w:right w:val="none" w:sz="0" w:space="0" w:color="auto"/>
      </w:divBdr>
      <w:divsChild>
        <w:div w:id="946040288">
          <w:marLeft w:val="0"/>
          <w:marRight w:val="0"/>
          <w:marTop w:val="0"/>
          <w:marBottom w:val="0"/>
          <w:divBdr>
            <w:top w:val="none" w:sz="0" w:space="0" w:color="auto"/>
            <w:left w:val="none" w:sz="0" w:space="0" w:color="auto"/>
            <w:bottom w:val="none" w:sz="0" w:space="0" w:color="auto"/>
            <w:right w:val="none" w:sz="0" w:space="0" w:color="auto"/>
          </w:divBdr>
        </w:div>
      </w:divsChild>
    </w:div>
    <w:div w:id="1302343710">
      <w:bodyDiv w:val="1"/>
      <w:marLeft w:val="0"/>
      <w:marRight w:val="0"/>
      <w:marTop w:val="0"/>
      <w:marBottom w:val="0"/>
      <w:divBdr>
        <w:top w:val="none" w:sz="0" w:space="0" w:color="auto"/>
        <w:left w:val="none" w:sz="0" w:space="0" w:color="auto"/>
        <w:bottom w:val="none" w:sz="0" w:space="0" w:color="auto"/>
        <w:right w:val="none" w:sz="0" w:space="0" w:color="auto"/>
      </w:divBdr>
      <w:divsChild>
        <w:div w:id="1884559494">
          <w:marLeft w:val="0"/>
          <w:marRight w:val="0"/>
          <w:marTop w:val="0"/>
          <w:marBottom w:val="0"/>
          <w:divBdr>
            <w:top w:val="none" w:sz="0" w:space="0" w:color="auto"/>
            <w:left w:val="none" w:sz="0" w:space="0" w:color="auto"/>
            <w:bottom w:val="none" w:sz="0" w:space="0" w:color="auto"/>
            <w:right w:val="none" w:sz="0" w:space="0" w:color="auto"/>
          </w:divBdr>
        </w:div>
      </w:divsChild>
    </w:div>
    <w:div w:id="1472094883">
      <w:bodyDiv w:val="1"/>
      <w:marLeft w:val="0"/>
      <w:marRight w:val="0"/>
      <w:marTop w:val="0"/>
      <w:marBottom w:val="0"/>
      <w:divBdr>
        <w:top w:val="none" w:sz="0" w:space="0" w:color="auto"/>
        <w:left w:val="none" w:sz="0" w:space="0" w:color="auto"/>
        <w:bottom w:val="none" w:sz="0" w:space="0" w:color="auto"/>
        <w:right w:val="none" w:sz="0" w:space="0" w:color="auto"/>
      </w:divBdr>
    </w:div>
    <w:div w:id="1507674022">
      <w:bodyDiv w:val="1"/>
      <w:marLeft w:val="0"/>
      <w:marRight w:val="0"/>
      <w:marTop w:val="0"/>
      <w:marBottom w:val="0"/>
      <w:divBdr>
        <w:top w:val="none" w:sz="0" w:space="0" w:color="auto"/>
        <w:left w:val="none" w:sz="0" w:space="0" w:color="auto"/>
        <w:bottom w:val="none" w:sz="0" w:space="0" w:color="auto"/>
        <w:right w:val="none" w:sz="0" w:space="0" w:color="auto"/>
      </w:divBdr>
      <w:divsChild>
        <w:div w:id="100609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2021-09-29T18:28:00Z</dcterms:created>
  <dcterms:modified xsi:type="dcterms:W3CDTF">2021-09-29T18:30:00Z</dcterms:modified>
</cp:coreProperties>
</file>